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aniel</w:t>
      </w: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lexander</w:t>
      </w: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 Y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udkin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4"/>
        </w:tabs>
        <w:ind w:left="0" w:right="-3.9999999999997726" w:firstLine="0"/>
        <w:contextualSpacing w:val="0"/>
        <w:jc w:val="left"/>
        <w:rPr>
          <w:rFonts w:ascii="Assistant" w:cs="Assistant" w:eastAsia="Assistant" w:hAnsi="Assistant"/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4"/>
        </w:tabs>
        <w:ind w:left="0" w:right="-3.9999999999997726" w:firstLine="0"/>
        <w:contextualSpacing w:val="0"/>
        <w:jc w:val="left"/>
        <w:rPr>
          <w:rFonts w:ascii="Assistant" w:cs="Assistant" w:eastAsia="Assistant" w:hAnsi="Assistant"/>
          <w:b w:val="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0"/>
          <w:sz w:val="26"/>
          <w:szCs w:val="26"/>
          <w:vertAlign w:val="baseline"/>
          <w:rtl w:val="0"/>
        </w:rPr>
        <w:t xml:space="preserve">d</w:t>
      </w:r>
      <w:r w:rsidDel="00000000" w:rsidR="00000000" w:rsidRPr="00000000">
        <w:rPr>
          <w:rFonts w:ascii="Assistant" w:cs="Assistant" w:eastAsia="Assistant" w:hAnsi="Assistant"/>
          <w:b w:val="0"/>
          <w:sz w:val="26"/>
          <w:szCs w:val="26"/>
          <w:rtl w:val="0"/>
        </w:rPr>
        <w:t xml:space="preserve">ay235</w:t>
      </w:r>
      <w:r w:rsidDel="00000000" w:rsidR="00000000" w:rsidRPr="00000000">
        <w:rPr>
          <w:rFonts w:ascii="Assistant" w:cs="Assistant" w:eastAsia="Assistant" w:hAnsi="Assistant"/>
          <w:b w:val="0"/>
          <w:sz w:val="26"/>
          <w:szCs w:val="26"/>
          <w:vertAlign w:val="baseline"/>
          <w:rtl w:val="0"/>
        </w:rPr>
        <w:t xml:space="preserve">@</w:t>
      </w:r>
      <w:r w:rsidDel="00000000" w:rsidR="00000000" w:rsidRPr="00000000">
        <w:rPr>
          <w:rFonts w:ascii="Assistant" w:cs="Assistant" w:eastAsia="Assistant" w:hAnsi="Assistant"/>
          <w:b w:val="0"/>
          <w:sz w:val="26"/>
          <w:szCs w:val="26"/>
          <w:rtl w:val="0"/>
        </w:rPr>
        <w:t xml:space="preserve">nyu.edu </w:t>
        <w:tab/>
      </w:r>
      <w:r w:rsidDel="00000000" w:rsidR="00000000" w:rsidRPr="00000000">
        <w:rPr>
          <w:rFonts w:ascii="Assistant" w:cs="Assistant" w:eastAsia="Assistant" w:hAnsi="Assistant"/>
          <w:b w:val="0"/>
          <w:sz w:val="26"/>
          <w:szCs w:val="26"/>
          <w:vertAlign w:val="baseline"/>
          <w:rtl w:val="0"/>
        </w:rPr>
        <w:t xml:space="preserve">584 Saint Marks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u w:val="none"/>
          <w:vertAlign w:val="baseline"/>
          <w:rtl w:val="0"/>
        </w:rPr>
        <w:t xml:space="preserve">413 441 0865</w:t>
        <w:tab/>
        <w:tab/>
        <w:tab/>
        <w:tab/>
        <w:tab/>
        <w:tab/>
        <w:tab/>
        <w:tab/>
        <w:tab/>
        <w:tab/>
        <w:t xml:space="preserve"> Brooklyn, NY 11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u w:val="none"/>
          <w:rtl w:val="0"/>
        </w:rPr>
        <w:t xml:space="preserve">216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u w:val="no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PhD in Psychology</w:t>
        <w:tab/>
        <w:tab/>
        <w:tab/>
        <w:tab/>
        <w:tab/>
        <w:t xml:space="preserve">              </w:t>
        <w:tab/>
        <w:tab/>
        <w:tab/>
        <w:tab/>
        <w:t xml:space="preserve">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2011 - 2017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New York University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Advisors: Profs. Yaacov Trop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e,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Jay Van Bavel, &amp; John Jost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Dissertation Committee: Profs.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Daniel Gilbert,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Marjorie Rhodes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174"/>
          <w:tab w:val="left" w:pos="90"/>
          <w:tab w:val="left" w:pos="180"/>
        </w:tabs>
        <w:ind w:right="-3.9999999999997726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Diploma in Modern Jazz Piano Performance </w:t>
        <w:tab/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2008 - 2009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810"/>
          <w:tab w:val="left" w:pos="90"/>
          <w:tab w:val="left" w:pos="180"/>
        </w:tabs>
        <w:ind w:right="-3.9999999999997726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Centre International de la Musique, Paris, France</w:t>
        <w:tab/>
        <w:t xml:space="preserve">                      </w:t>
      </w:r>
    </w:p>
    <w:p w:rsidR="00000000" w:rsidDel="00000000" w:rsidP="00000000" w:rsidRDefault="00000000" w:rsidRPr="00000000">
      <w:pPr>
        <w:tabs>
          <w:tab w:val="right" w:pos="9810"/>
          <w:tab w:val="left" w:pos="90"/>
          <w:tab w:val="left" w:pos="180"/>
        </w:tabs>
        <w:ind w:right="-3.9999999999997726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10084"/>
          <w:tab w:val="right" w:pos="10084"/>
        </w:tabs>
        <w:ind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BA with Double Major in Psychology and Philosophy</w:t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2004 - 2008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990"/>
          <w:tab w:val="right" w:pos="9990"/>
        </w:tabs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Williams College</w:t>
        <w:tab/>
        <w:tab/>
        <w:t xml:space="preserve">            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Advisors: Profs. Steven Fein &amp; Richard Eibach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Assistant" w:cs="Assistant" w:eastAsia="Assistant" w:hAnsi="Assistant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Honors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Thesis: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Effect of Relative Deprivation on Present Orientation and Time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Discounting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  <w:u w:val="none"/>
        </w:rPr>
      </w:pPr>
      <w:bookmarkStart w:colFirst="0" w:colLast="0" w:name="_hljod6sijl9z" w:id="0"/>
      <w:bookmarkEnd w:id="0"/>
      <w:r w:rsidDel="00000000" w:rsidR="00000000" w:rsidRPr="00000000">
        <w:rPr>
          <w:rFonts w:ascii="Assistant" w:cs="Assistant" w:eastAsia="Assistant" w:hAnsi="Assistant"/>
          <w:sz w:val="36"/>
          <w:szCs w:val="36"/>
          <w:u w:val="none"/>
          <w:rtl w:val="0"/>
        </w:rPr>
        <w:t xml:space="preserve">APPOINTMENTS</w:t>
      </w:r>
    </w:p>
    <w:p w:rsidR="00000000" w:rsidDel="00000000" w:rsidP="00000000" w:rsidRDefault="00000000" w:rsidRPr="00000000">
      <w:pPr>
        <w:ind w:firstLine="0"/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Postdoctoral Researcher &amp; Consultant</w:t>
        <w:tab/>
        <w:tab/>
        <w:tab/>
        <w:tab/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2017 -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Oxford University &amp; Yale University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Advisor: Prof. Molly Crockett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4"/>
        </w:tabs>
        <w:ind w:right="-3.9999999999997726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Research Fellow</w:t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2012 - 2014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70"/>
        </w:tabs>
        <w:ind w:right="-3.9999999999997726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Harvard University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Advisor: Prof. Daniel Gilbert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rtl w:val="0"/>
        </w:rPr>
        <w:t xml:space="preserve">EMPLOYMENT</w:t>
      </w:r>
    </w:p>
    <w:p w:rsidR="00000000" w:rsidDel="00000000" w:rsidP="00000000" w:rsidRDefault="00000000" w:rsidRPr="00000000">
      <w:pPr>
        <w:tabs>
          <w:tab w:val="right" w:pos="10084"/>
        </w:tabs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Academic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Consultant</w:t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2017 -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ab/>
        <w:t xml:space="preserve">More in Common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990"/>
        </w:tabs>
        <w:ind w:firstLine="0"/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Program Coordinator</w:t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.9999999999997726" w:firstLine="720"/>
        <w:contextualSpacing w:val="0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Pearl Lagoon Academy of Excellence, Nicaragua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ab/>
        <w:tab/>
        <w:tab/>
        <w:tab/>
        <w:t xml:space="preserve">        </w:t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.9999999999997726" w:firstLine="720"/>
        <w:contextualSpacing w:val="0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vertAlign w:val="baseline"/>
          <w:rtl w:val="0"/>
        </w:rPr>
        <w:t xml:space="preserve">HONORS</w:t>
      </w:r>
      <w:r w:rsidDel="00000000" w:rsidR="00000000" w:rsidRPr="00000000">
        <w:rPr>
          <w:rFonts w:ascii="Assistant" w:cs="Assistant" w:eastAsia="Assistant" w:hAnsi="Assistant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36"/>
          <w:szCs w:val="36"/>
          <w:vertAlign w:val="baseline"/>
          <w:rtl w:val="0"/>
        </w:rPr>
        <w:t xml:space="preserve">AWARDS, </w:t>
      </w:r>
      <w:r w:rsidDel="00000000" w:rsidR="00000000" w:rsidRPr="00000000">
        <w:rPr>
          <w:rFonts w:ascii="Assistant" w:cs="Assistant" w:eastAsia="Assistant" w:hAnsi="Assistant"/>
          <w:sz w:val="36"/>
          <w:szCs w:val="36"/>
          <w:rtl w:val="0"/>
        </w:rPr>
        <w:t xml:space="preserve">AND FUNDING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ssistant" w:cs="Assistant" w:eastAsia="Assistant" w:hAnsi="Assistant"/>
          <w:i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Templeton Foundation </w:t>
        <w:tab/>
        <w:tab/>
        <w:tab/>
        <w:t xml:space="preserve">  </w:t>
        <w:tab/>
        <w:tab/>
        <w:tab/>
        <w:tab/>
        <w:tab/>
        <w:t xml:space="preserve">    </w:t>
        <w:tab/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2016 - 2017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Grant Title: “The warm glow of Burning Man”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Predoctoral Summer Fellowship ($2,000), New York University</w:t>
        <w:tab/>
        <w:tab/>
        <w:tab/>
        <w:t xml:space="preserve">  </w:t>
        <w:tab/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Summer funding for travel and research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Dean’s Fellowship Award ($23,000), New York University </w:t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Year-long grant for dissertation research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Student Travel Award ($500), Society for Personality and Social Psychology</w:t>
        <w:tab/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Friends of Katzell Fellowship ($1,500), New York University</w:t>
        <w:tab/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National Science Foundation Graduate Research Fellowship, Honorable Mention</w:t>
        <w:tab/>
        <w:t xml:space="preserve">             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Henry M. MacCracken Fellowship, New York University</w:t>
        <w:tab/>
        <w:tab/>
        <w:tab/>
        <w:tab/>
        <w:t xml:space="preserve">     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2011-2016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Full tuition and cost of living for five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G. Stanley Hall 1867 Prize in Psychology ($1,500), Williams College</w:t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Single highest annual departmental research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Class of 1960 Scholar in Psychology, Williams College</w:t>
        <w:tab/>
        <w:tab/>
        <w:tab/>
        <w:t xml:space="preserve">       </w:t>
        <w:tab/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         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Selected by faculty for outstanding promise in advanced psychology.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  <w:u w:val="none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u w:val="none"/>
          <w:vertAlign w:val="baseline"/>
          <w:rtl w:val="0"/>
        </w:rPr>
        <w:t xml:space="preserve">PAPERS AND MANUSCRIPTS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Rothmund, T., Thalla, N., Twardawski, M., &amp; Van Bavel, J. (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2016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). Reflexive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intergroup bias in third-party punishment.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Journal of Experimental Psychology: General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, 145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1448-1459.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Mentovich, T.,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Tyler, T., &amp; Trope, Y. (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2016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). Justice without borders: Construal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ab/>
        <w:t xml:space="preserve">level and the scope of justice.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Personality and Social Psychology Bulletin.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(2008).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enefits of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t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ime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ias. Ma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nuscript a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ccepted for publi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cation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at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Eudaimonia: The Georgetown Philosophical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In Preparation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Liberman, N., Wakslak, C., &amp; Trope, Y. (Revise and Resubmit). Measuring up to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i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distant others: Expanding and contracting the comparative scope.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Journal of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Personality and Social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Van Bavel, J., Rhodes, M. (Under Review). Children enact costly punishment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before they begin caring about their reputations.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Pick-Alony, R., Hur, Y., Liberman, N., &amp; Trope, Y. (In preparation). Psychological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Distance Promotes Transcending of Local Maxima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i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Pliskin, R,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Jost, J, &amp; Trope, Y. (Invited Manuscript) Myopia of the Masses.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Social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Comparison, Behavior, and Judgment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Oxford University Press.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Mentovich, T. Tyler, T., &amp; Trope, Y. (Invited Manuscript) Justice across time.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ssistant" w:cs="Assistant" w:eastAsia="Assistant" w:hAnsi="Assistant"/>
          <w:i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Handbook of </w:t>
        <w:tab/>
        <w:t xml:space="preserve">Psychology of Time Travel and Temporality.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  <w:u w:val="none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u w:val="none"/>
          <w:vertAlign w:val="baseline"/>
          <w:rtl w:val="0"/>
        </w:rPr>
        <w:t xml:space="preserve">POSTERS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“Overcoming intergroup bias: Getting good fruit from bad roots” (April, 2017).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Invited talk presented at Moral Mind, Brain and Behavior colloquium, University at Albany, NY.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Chakroff, A., &amp; Crockett, M. “Transformative experience at Burning Man” (May, 2016)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Talk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presented at the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Society of Philosophy and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Austin, TX.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Rhodes, M., &amp; Van Bavel, J.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“Costly punishment in children aged 4-6.”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(January, 2016). Poster presented at the 17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Society for Personality and Social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San Diego,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Rhodes, M., &amp; Van Bavel, J. “‘Not in my house!’: Costly punishment and ingroup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olicing.” (May, 2015) Talk p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r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esented at the 27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Association for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Psychological Science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New York, 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Rhodes, M., &amp; Van Bavel, J. (October 2014) “‘Not in my house!’: Costly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punishment and ingroup policing.” Invited talk, Haines Lab, Williams Paterson University, NJ.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&amp; Van Bavel, J. (June 2014). “Not in my house: Group membership changes crime and punishment.” Talk presented at the 37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International Society of Political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New York, 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&amp; Trope, Y. (April 2014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“Distant relativity: Expanding the comparative scope.” Talk presented at the Four College Conference, New York University, 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Thalla, N., &amp; Van Bavel, J. (February 2014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“Eye for an eye: Retaliation (not retribution) drives heightened outgroup punishment for moral misdeeds.”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Poster presented at the 15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Society for Personality and Social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Austin, TX.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vertAlign w:val="baseline"/>
          <w:rtl w:val="0"/>
        </w:rPr>
        <w:t xml:space="preserve">PROFESSIONAL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u w:val="single"/>
          <w:vertAlign w:val="baseline"/>
          <w:rtl w:val="0"/>
        </w:rPr>
        <w:t xml:space="preserve">Chaired Symposia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&amp; Van Bavel, J. “Punishment and cooperation: Cultural and group-based origins.” Symposium presented at the 27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Association for Psychological Science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New York, 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Van Bavel, J., &amp; Rothmund, T. (June 2014) “Collective regulation: Group-level function of moral judgment.” Symposium presented at the 37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Annual Meeting of the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International Society of Political Psychology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, New York, NY.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u w:val="single"/>
          <w:rtl w:val="0"/>
        </w:rPr>
        <w:t xml:space="preserve">Ad-hoc reviewer</w:t>
        <w:tab/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Journal of Experimental Psychology: General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Journal of Personality and Social Psychology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Current Biology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Host, “Visualizing Psychology” Video Series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Wiley Publishing     </w:t>
        <w:tab/>
        <w:tab/>
        <w:t xml:space="preserve">    </w:t>
        <w:tab/>
        <w:t xml:space="preserve">          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left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vertAlign w:val="baseline"/>
          <w:rtl w:val="0"/>
        </w:rPr>
        <w:t xml:space="preserve">TEACHING AND MENTORSHIP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Yewon Hur</w:t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2015-2017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Thesis title: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Abstract Thinking Enhances Exploration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Accepted, PhD program Marketing, Cornell University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Abril Costanza</w:t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2015-2016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Thesis title: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How leadership and communal orientation affect third-party punishment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Recipient, Dean’s Undergraduate Research Fellowship</w:t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Natasha Thalla</w:t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2012-2013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Thesis title: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The larger the crime, the smaller the fine: Ingroup members receive clemency for more severe moral transgressions.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0"/>
        </w:tabs>
        <w:spacing w:after="0" w:before="0" w:line="240" w:lineRule="auto"/>
        <w:ind w:left="720" w:hanging="36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Recipient, Dean’s Undergraduate Research Fellowship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0"/>
        </w:tabs>
        <w:spacing w:after="0" w:before="0" w:line="240" w:lineRule="auto"/>
        <w:ind w:left="720" w:hanging="36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Winner, Best Undergraduate Presentation in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0"/>
        </w:tabs>
        <w:spacing w:after="0" w:before="0" w:line="240" w:lineRule="auto"/>
        <w:ind w:left="720" w:hanging="36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Accepted, PhD program Social Psychology, Lehigh University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0"/>
        </w:tabs>
        <w:spacing w:after="0" w:before="0" w:line="24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0"/>
        </w:tabs>
        <w:spacing w:after="0" w:before="0" w:line="24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Jessica Dubin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2013-2014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Assistant" w:cs="Assistant" w:eastAsia="Assistant" w:hAnsi="Assistant"/>
          <w:i w:val="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Thesis title: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Searching for evidence: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Group membership shifts attention to mitigating and exacerbating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Assistant" w:cs="Assistant" w:eastAsia="Assistant" w:hAnsi="Assistant"/>
          <w:i w:val="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Recipient, Dean’s Undergraduate Research Fellowship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GRE Instructor, Manhattan Prep</w:t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 xml:space="preserve">2011-2017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TA, Introduction to Social Psychology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rtl w:val="0"/>
        </w:rPr>
        <w:tab/>
        <w:t xml:space="preserve">  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i w:val="1"/>
          <w:sz w:val="26"/>
          <w:szCs w:val="26"/>
          <w:vertAlign w:val="baseline"/>
          <w:rtl w:val="0"/>
        </w:rPr>
        <w:t xml:space="preserve">Overall teacher rating: 4.79/5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  <w:u w:val="none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u w:val="none"/>
          <w:vertAlign w:val="baseline"/>
          <w:rtl w:val="0"/>
        </w:rPr>
        <w:t xml:space="preserve">SELECTED POPULAR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sz w:val="26"/>
          <w:szCs w:val="26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u w:val="single"/>
          <w:rtl w:val="0"/>
        </w:rPr>
        <w:t xml:space="preserve">New York Times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D.A., Van Bavel, J.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(December 2016) The roots of implicit bias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sz w:val="26"/>
          <w:szCs w:val="26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u w:val="single"/>
          <w:vertAlign w:val="baseline"/>
          <w:rtl w:val="0"/>
        </w:rPr>
        <w:t xml:space="preserve">Scientific American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, Kobis, N., &amp; Van Lange, P. (February 2017) Leaping into corruption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Yudkin, D.A.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0"/>
        </w:rPr>
        <w:t xml:space="preserve">(September 2016). The psychology of disproportionate punishment.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D.A.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(May 2016). Group membership influences perception of disgusting smells.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(September 2015). People are more likely to cheat at the 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(July 2015). The psychological cost of being a maverick.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(June 2015). The isolating effects of anxiety.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(January 2015). Without friends or family,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even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extraordinary experiences are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disappointing.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(September 2014). How smiling can backfire.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 (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November 2014).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The philosophical implications of the urge to urinate.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A.,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 &amp; Trope, Y. (June 2014). Music changes the way you think.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b w:val="1"/>
          <w:sz w:val="26"/>
          <w:szCs w:val="26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u w:val="single"/>
          <w:vertAlign w:val="baseline"/>
          <w:rtl w:val="0"/>
        </w:rPr>
        <w:t xml:space="preserve">Huffington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(May 2015). Face-aging software presents a terrible (and fascinating) social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dilemma.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  <w:vertAlign w:val="baseline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vertAlign w:val="baseline"/>
          <w:rtl w:val="0"/>
        </w:rPr>
        <w:t xml:space="preserve">Yudkin, D. A.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(December 2014). In which I inadvertently subject myself to one of the most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controversial psychology experiments of all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ssistant" w:cs="Assistant" w:eastAsia="Assistant" w:hAnsi="Assistant"/>
          <w:sz w:val="36"/>
          <w:szCs w:val="36"/>
        </w:rPr>
      </w:pPr>
      <w:r w:rsidDel="00000000" w:rsidR="00000000" w:rsidRPr="00000000">
        <w:rPr>
          <w:rFonts w:ascii="Assistant" w:cs="Assistant" w:eastAsia="Assistant" w:hAnsi="Assistant"/>
          <w:sz w:val="36"/>
          <w:szCs w:val="36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vertAlign w:val="baseline"/>
          <w:rtl w:val="0"/>
        </w:rPr>
        <w:t xml:space="preserve">English (native), French (fluent), Spanish (conversational), Nicaraguan Creole (competent) </w:t>
      </w:r>
      <w:r w:rsidDel="00000000" w:rsidR="00000000" w:rsidRPr="00000000">
        <w:rPr>
          <w:rtl w:val="0"/>
        </w:rPr>
      </w:r>
    </w:p>
    <w:sectPr>
      <w:pgSz w:h="144000" w:w="12240"/>
      <w:pgMar w:bottom="1440" w:top="720" w:left="1166" w:right="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